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1975" cy="66675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25pt;height:52.5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</w:pPr>
      <w:r/>
      <w:r/>
    </w:p>
    <w:p>
      <w:pPr>
        <w:pStyle w:val="863"/>
        <w:ind w:right="-48"/>
        <w:jc w:val="center"/>
        <w:spacing w:before="23"/>
      </w:pPr>
      <w:r/>
      <w:r/>
    </w:p>
    <w:p>
      <w:pPr>
        <w:pStyle w:val="863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54:07:057406:706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21.12.2004 № 172-ФЗ «О 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общества с</w:t>
      </w:r>
      <w:r>
        <w:rPr>
          <w:sz w:val="28"/>
          <w:szCs w:val="28"/>
        </w:rPr>
        <w:t xml:space="preserve"> ограниченной ответственностью «Разрез Восточный» (далее – ОО</w:t>
      </w:r>
      <w:r>
        <w:rPr>
          <w:sz w:val="28"/>
          <w:szCs w:val="28"/>
        </w:rPr>
        <w:t xml:space="preserve">O</w:t>
      </w:r>
      <w:r>
        <w:rPr>
          <w:sz w:val="28"/>
          <w:szCs w:val="28"/>
        </w:rPr>
        <w:t xml:space="preserve"> «Разрез Восточный») и пакет 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</w:t>
      </w:r>
      <w:r>
        <w:rPr>
          <w:sz w:val="28"/>
          <w:szCs w:val="28"/>
        </w:rPr>
        <w:t xml:space="preserve">я, информатики, земель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54:07:057406:706, местоположение: Новосибирская область, Искитимский р-н, д Харино</w:t>
      </w:r>
      <w:r>
        <w:rPr>
          <w:sz w:val="28"/>
          <w:szCs w:val="28"/>
        </w:rPr>
        <w:t xml:space="preserve">, площадью 89 кв. м, для размещения частей промышленного объекта, а именно складских площадок для оборудования, необходимого при ведении работ, связанных с недропользованием.</w:t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информации, содержащейся в ходатайстве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ООO «Разрез Восточный»</w:t>
      </w:r>
      <w:r>
        <w:rPr>
          <w:sz w:val="28"/>
          <w:szCs w:val="28"/>
        </w:rPr>
        <w:t xml:space="preserve"> в соответ</w:t>
      </w:r>
      <w:r>
        <w:rPr>
          <w:sz w:val="28"/>
          <w:szCs w:val="28"/>
        </w:rPr>
        <w:t xml:space="preserve">ствии с лицензией НОВ 02795 ТЭ от 03.09.2015 осуществляет деятельность по добыче, обогащению и реализации антрацита каменноугольного бассейна, расположенного на территории Искитимского района Новосибирской области.</w:t>
      </w:r>
      <w:r>
        <w:rPr>
          <w:sz w:val="28"/>
          <w:szCs w:val="28"/>
        </w:rPr>
      </w:r>
    </w:p>
    <w:p>
      <w:pPr>
        <w:ind w:right="-48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«Разрез Восточный» является действующ</w:t>
      </w:r>
      <w:r>
        <w:rPr>
          <w:sz w:val="28"/>
          <w:szCs w:val="28"/>
        </w:rPr>
        <w:t xml:space="preserve">им предприятием, имеет необходимую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инфраструктуру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 вспомогательные объекты на поверхности, однако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объема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производства</w:t>
      </w:r>
      <w:r>
        <w:rPr>
          <w:spacing w:val="59"/>
          <w:sz w:val="28"/>
          <w:szCs w:val="28"/>
        </w:rPr>
        <w:t xml:space="preserve"> </w:t>
      </w:r>
      <w:r>
        <w:rPr>
          <w:color w:val="1c0000"/>
          <w:sz w:val="28"/>
          <w:szCs w:val="28"/>
        </w:rPr>
        <w:t xml:space="preserve">и</w:t>
      </w:r>
      <w:r>
        <w:rPr>
          <w:color w:val="1c0000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обеспечения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безопасности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добыче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полезных ископаемых требуется дополнительное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поверхностной </w:t>
      </w:r>
      <w:r>
        <w:rPr>
          <w:spacing w:val="-2"/>
          <w:sz w:val="28"/>
          <w:szCs w:val="28"/>
        </w:rPr>
        <w:t xml:space="preserve">инфраструктуры.</w:t>
      </w:r>
      <w:r>
        <w:rPr>
          <w:sz w:val="28"/>
          <w:szCs w:val="28"/>
        </w:rPr>
      </w:r>
    </w:p>
    <w:p>
      <w:pPr>
        <w:pStyle w:val="863"/>
        <w:ind w:right="-48" w:firstLine="850"/>
        <w:jc w:val="both"/>
        <w:spacing w:before="17" w:line="242" w:lineRule="auto"/>
      </w:pPr>
      <w:r>
        <w:t xml:space="preserve">На земельном участке планируется размещение </w:t>
      </w:r>
      <w:bookmarkStart w:id="2" w:name="OLE_LINK1"/>
      <w:r/>
      <w:bookmarkStart w:id="3" w:name="OLE_LINK2"/>
      <w:r>
        <w:t xml:space="preserve">частей промышленного объекта, а именно </w:t>
      </w:r>
      <w:bookmarkEnd w:id="2"/>
      <w:r/>
      <w:bookmarkEnd w:id="3"/>
      <w:r>
        <w:t xml:space="preserve">складских площадок для оборудования, необходимого при ведении работ, связанных с недропользованием.</w:t>
      </w:r>
      <w:r/>
    </w:p>
    <w:p>
      <w:pPr>
        <w:pStyle w:val="863"/>
        <w:ind w:right="-48" w:firstLine="850"/>
        <w:jc w:val="both"/>
        <w:spacing w:before="6" w:line="237" w:lineRule="auto"/>
      </w:pPr>
      <w:r>
        <w:t xml:space="preserve">По результатам предварительных геофизических исследований, оценке сложивш</w:t>
      </w:r>
      <w:r>
        <w:t xml:space="preserve">ейся градостроительной ситуации иные варианты размещения промышленного объекта отсутствуют, кроме как</w:t>
      </w:r>
      <w:r>
        <w:rPr>
          <w:spacing w:val="-9"/>
        </w:rPr>
        <w:t xml:space="preserve"> </w:t>
      </w:r>
      <w:r>
        <w:t xml:space="preserve">в</w:t>
      </w:r>
      <w:r>
        <w:rPr>
          <w:spacing w:val="-12"/>
        </w:rPr>
        <w:t xml:space="preserve"> </w:t>
      </w:r>
      <w:r>
        <w:t xml:space="preserve">границах земельного участка с кадастровым</w:t>
      </w:r>
      <w:r>
        <w:rPr>
          <w:spacing w:val="40"/>
        </w:rPr>
        <w:t xml:space="preserve"> </w:t>
      </w:r>
      <w:r>
        <w:t xml:space="preserve">номером</w:t>
      </w:r>
      <w:r>
        <w:rPr>
          <w:spacing w:val="40"/>
        </w:rPr>
        <w:t xml:space="preserve"> </w:t>
      </w:r>
      <w:r>
        <w:t xml:space="preserve">54:07:057406:706.</w:t>
      </w:r>
      <w:r/>
    </w:p>
    <w:p>
      <w:pPr>
        <w:pStyle w:val="863"/>
        <w:ind w:right="-48" w:firstLine="850"/>
        <w:jc w:val="both"/>
        <w:spacing w:before="6" w:line="237" w:lineRule="auto"/>
      </w:pPr>
      <w:r>
        <w:t xml:space="preserve">Создание дополнительных производственных мощностей ОО</w:t>
      </w:r>
      <w:r>
        <w:t xml:space="preserve">O</w:t>
      </w:r>
      <w:r>
        <w:rPr>
          <w:spacing w:val="-6"/>
        </w:rPr>
        <w:t xml:space="preserve"> </w:t>
      </w:r>
      <w:r>
        <w:t xml:space="preserve">«Разрез </w:t>
      </w:r>
      <w:r>
        <w:t xml:space="preserve">Восточный» позволит у</w:t>
      </w:r>
      <w:r>
        <w:t xml:space="preserve">величить налоговые поступления в областной бюджет Новосибирской области, повысить занятость населения и будет способствовать экономическому развитию региона.</w:t>
      </w:r>
      <w:r/>
    </w:p>
    <w:p>
      <w:pPr>
        <w:pStyle w:val="863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генеральным планом Усть-Чемского сельсовета Искитимского района Новосибирской обл</w:t>
      </w:r>
      <w:r>
        <w:t xml:space="preserve">асти, утвержденным приказом министерства строительства Новосибирской области от 28.10.2020 № 559, земельный участок с кадастровым номером 54:07:057406:706 расположен</w:t>
      </w:r>
      <w:r>
        <w:rPr>
          <w:spacing w:val="40"/>
        </w:rPr>
        <w:t xml:space="preserve"> </w:t>
      </w:r>
      <w:r>
        <w:t xml:space="preserve">в функциональной зоне – производственная зона.</w:t>
      </w:r>
      <w:r/>
    </w:p>
    <w:p>
      <w:pPr>
        <w:pStyle w:val="863"/>
        <w:ind w:right="-48" w:firstLine="850"/>
        <w:jc w:val="both"/>
      </w:pPr>
      <w:r>
        <w:t xml:space="preserve">Согласно сведениям из Единого г</w:t>
      </w:r>
      <w:r>
        <w:t xml:space="preserve">осударственного реестра недвижимости земельный участок с кадастровым номером 54:07:057406:706 находится </w:t>
      </w:r>
      <w:r>
        <w:rPr>
          <w:color w:val="2a000f"/>
        </w:rPr>
        <w:t xml:space="preserve">в </w:t>
      </w:r>
      <w:r>
        <w:t xml:space="preserve">собственност</w:t>
      </w:r>
      <w:r>
        <w:t xml:space="preserve">и ООО</w:t>
      </w:r>
      <w:r>
        <w:t xml:space="preserve"> «Разрез Восточный»</w:t>
      </w:r>
      <w:r>
        <w:rPr>
          <w:spacing w:val="-2"/>
        </w:rPr>
        <w:t xml:space="preserve">.</w:t>
      </w:r>
      <w:r/>
    </w:p>
    <w:p>
      <w:pPr>
        <w:pStyle w:val="863"/>
        <w:ind w:right="-48" w:firstLine="850"/>
        <w:jc w:val="both"/>
        <w:spacing w:before="5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</w:t>
      </w:r>
      <w:r>
        <w:rPr>
          <w:spacing w:val="80"/>
        </w:rPr>
        <w:t xml:space="preserve"> </w:t>
      </w:r>
      <w:r>
        <w:t xml:space="preserve">54:07:057406:706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4</w:t>
      </w:r>
      <w:r>
        <w:rPr>
          <w:spacing w:val="-11"/>
        </w:rPr>
        <w:t xml:space="preserve"> 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 допускающими перевод земель сельскохозяйственных угодий или зе</w:t>
      </w:r>
      <w:r>
        <w:t xml:space="preserve">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</w:t>
      </w:r>
      <w:r>
        <w:t xml:space="preserve">земли иного специального </w:t>
      </w:r>
      <w:r>
        <w:rPr>
          <w:spacing w:val="-2"/>
        </w:rPr>
        <w:t xml:space="preserve">назначения.</w:t>
      </w:r>
      <w:r/>
    </w:p>
    <w:p>
      <w:pPr>
        <w:pStyle w:val="863"/>
        <w:ind w:right="-48" w:firstLine="850"/>
        <w:jc w:val="both"/>
        <w:spacing w:line="235" w:lineRule="auto"/>
      </w:pPr>
      <w:r>
        <w:t xml:space="preserve">Содержащийся в выписке из Единого государственного реестра недвижимости вид</w:t>
      </w:r>
      <w:r>
        <w:rPr>
          <w:spacing w:val="-15"/>
        </w:rPr>
        <w:t xml:space="preserve"> </w:t>
      </w:r>
      <w:r>
        <w:t xml:space="preserve">разрешенного использования «для сельскохозяйственного производства»</w:t>
      </w:r>
      <w:r>
        <w:rPr>
          <w:spacing w:val="67"/>
        </w:rPr>
        <w:t xml:space="preserve"> </w:t>
      </w:r>
      <w:r>
        <w:t xml:space="preserve">позволяет</w:t>
      </w:r>
      <w:r>
        <w:rPr>
          <w:spacing w:val="70"/>
        </w:rPr>
        <w:t xml:space="preserve"> </w:t>
      </w:r>
      <w:r>
        <w:t xml:space="preserve">определить</w:t>
      </w:r>
      <w:r>
        <w:rPr>
          <w:spacing w:val="69"/>
        </w:rPr>
        <w:t xml:space="preserve"> </w:t>
      </w:r>
      <w:r>
        <w:t xml:space="preserve">код</w:t>
      </w:r>
      <w:r>
        <w:rPr>
          <w:spacing w:val="61"/>
        </w:rPr>
        <w:t xml:space="preserve"> </w:t>
      </w:r>
      <w:r>
        <w:rPr>
          <w:spacing w:val="-4"/>
        </w:rPr>
        <w:t xml:space="preserve">вида </w:t>
      </w:r>
      <w:r>
        <w:t xml:space="preserve">разрешенного</w:t>
      </w:r>
      <w:r>
        <w:rPr>
          <w:spacing w:val="80"/>
        </w:rPr>
        <w:t xml:space="preserve"> </w:t>
      </w:r>
      <w:r>
        <w:t xml:space="preserve">использования</w:t>
      </w:r>
      <w:r>
        <w:rPr>
          <w:spacing w:val="80"/>
        </w:rPr>
        <w:t xml:space="preserve"> </w:t>
      </w:r>
      <w:r>
        <w:t xml:space="preserve">данного</w:t>
      </w:r>
      <w:r>
        <w:rPr>
          <w:spacing w:val="80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приложению</w:t>
      </w:r>
      <w:r>
        <w:rPr>
          <w:spacing w:val="80"/>
        </w:rPr>
        <w:t xml:space="preserve"> </w:t>
      </w:r>
      <w:r>
        <w:t xml:space="preserve">1 к</w:t>
      </w:r>
      <w:r>
        <w:rPr>
          <w:spacing w:val="-14"/>
        </w:rPr>
        <w:t xml:space="preserve"> </w:t>
      </w:r>
      <w:r>
        <w:t xml:space="preserve">приказу Росреестра от 04.08.2021 № </w:t>
      </w:r>
      <w:r>
        <w:t xml:space="preserve">П</w:t>
      </w:r>
      <w:r>
        <w:t xml:space="preserve">/0336 «Об утверждении Методических указаний</w:t>
      </w:r>
      <w:r>
        <w:rPr>
          <w:spacing w:val="67"/>
        </w:rPr>
        <w:t xml:space="preserve"> </w:t>
      </w:r>
      <w:r>
        <w:t xml:space="preserve">о</w:t>
      </w:r>
      <w:r>
        <w:rPr>
          <w:spacing w:val="59"/>
        </w:rPr>
        <w:t xml:space="preserve"> </w:t>
      </w:r>
      <w:r>
        <w:t xml:space="preserve">государственной</w:t>
      </w:r>
      <w:r>
        <w:rPr>
          <w:spacing w:val="60"/>
        </w:rPr>
        <w:t xml:space="preserve"> </w:t>
      </w:r>
      <w:r>
        <w:t xml:space="preserve">кадастровой</w:t>
      </w:r>
      <w:r>
        <w:rPr>
          <w:spacing w:val="69"/>
        </w:rPr>
        <w:t xml:space="preserve"> </w:t>
      </w:r>
      <w:r>
        <w:t xml:space="preserve">оценке»:</w:t>
      </w:r>
      <w:r>
        <w:rPr>
          <w:spacing w:val="63"/>
        </w:rPr>
        <w:t xml:space="preserve"> </w:t>
      </w:r>
      <w:r>
        <w:t xml:space="preserve">сегмент</w:t>
      </w:r>
      <w:r>
        <w:rPr>
          <w:spacing w:val="64"/>
        </w:rPr>
        <w:t xml:space="preserve"> </w:t>
      </w:r>
      <w:r>
        <w:t xml:space="preserve">1 </w:t>
      </w:r>
      <w:r>
        <w:rPr>
          <w:spacing w:val="-2"/>
        </w:rPr>
        <w:t xml:space="preserve">«Сельскохозяйственное</w:t>
      </w:r>
      <w:r>
        <w:rPr>
          <w:spacing w:val="20"/>
        </w:rPr>
        <w:t xml:space="preserve"> </w:t>
      </w:r>
      <w:r>
        <w:rPr>
          <w:spacing w:val="-2"/>
        </w:rPr>
        <w:t xml:space="preserve">использование».</w:t>
      </w:r>
      <w:r/>
    </w:p>
    <w:p>
      <w:pPr>
        <w:pStyle w:val="863"/>
        <w:ind w:right="-48" w:firstLine="850"/>
        <w:jc w:val="both"/>
        <w:spacing w:line="319" w:lineRule="exact"/>
      </w:pPr>
      <w:r>
        <w:rPr>
          <w:spacing w:val="-2"/>
        </w:rPr>
        <w:t xml:space="preserve">Кадастровая</w:t>
      </w:r>
      <w:r>
        <w:rPr>
          <w:spacing w:val="9"/>
        </w:rPr>
        <w:t xml:space="preserve"> </w:t>
      </w:r>
      <w:r>
        <w:rPr>
          <w:spacing w:val="-2"/>
        </w:rPr>
        <w:t xml:space="preserve">стоимость</w:t>
      </w:r>
      <w:r>
        <w:t xml:space="preserve"> </w:t>
      </w:r>
      <w:r>
        <w:rPr>
          <w:spacing w:val="-2"/>
        </w:rPr>
        <w:t xml:space="preserve">данного</w:t>
      </w:r>
      <w:r>
        <w:rPr>
          <w:spacing w:val="-1"/>
        </w:rPr>
        <w:t xml:space="preserve"> </w:t>
      </w:r>
      <w:r>
        <w:rPr>
          <w:spacing w:val="-2"/>
        </w:rPr>
        <w:t xml:space="preserve">земельного</w:t>
      </w:r>
      <w:r>
        <w:rPr>
          <w:spacing w:val="4"/>
        </w:rPr>
        <w:t xml:space="preserve"> </w:t>
      </w:r>
      <w:r>
        <w:rPr>
          <w:spacing w:val="-2"/>
        </w:rPr>
        <w:t xml:space="preserve">участка</w:t>
      </w:r>
      <w:r>
        <w:rPr>
          <w:spacing w:val="-6"/>
        </w:rPr>
        <w:t xml:space="preserve"> </w:t>
      </w:r>
      <w:r>
        <w:rPr>
          <w:spacing w:val="-2"/>
        </w:rPr>
        <w:t xml:space="preserve">составляет:</w:t>
      </w:r>
      <w:r/>
    </w:p>
    <w:p>
      <w:pPr>
        <w:pStyle w:val="863"/>
        <w:ind w:right="-48" w:firstLine="850"/>
        <w:spacing w:before="70"/>
      </w:pPr>
      <w:r/>
      <w:r/>
    </w:p>
    <w:tbl>
      <w:tblPr>
        <w:tblStyle w:val="862"/>
        <w:tblW w:w="0" w:type="auto"/>
        <w:tblInd w:w="1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217"/>
        <w:gridCol w:w="4153"/>
        <w:gridCol w:w="26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Кадастровая стоимость, руб.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УПКС, руб./кв.м.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54:07:057406:706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297,29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3,34</w:t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63"/>
        <w:ind w:right="-48" w:firstLine="850"/>
      </w:pPr>
      <w:r/>
      <w:r/>
    </w:p>
    <w:p>
      <w:pPr>
        <w:pStyle w:val="703"/>
        <w:ind w:firstLine="850"/>
        <w:jc w:val="both"/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сельскохозяйственного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назначения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сегменту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Сельскохозяйственное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использование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установленный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приложением</w:t>
      </w:r>
      <w:r>
        <w:rPr>
          <w:rFonts w:ascii="Times New Roman" w:hAnsi="Times New Roman" w:eastAsia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приказу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департамента</w:t>
      </w:r>
      <w:r>
        <w:rPr>
          <w:rFonts w:ascii="Times New Roman" w:hAnsi="Times New Roman" w:eastAsia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имущества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отношений</w:t>
      </w:r>
      <w:r>
        <w:rPr>
          <w:rFonts w:ascii="Times New Roman" w:hAnsi="Times New Roman" w:eastAsia="Times New Roman" w:cs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20.10.2022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 3017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утверждении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результатов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среднего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уровня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тоимости земельных участков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районам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городским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составляет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3,34</w:t>
      </w:r>
      <w:r>
        <w:rPr>
          <w:rFonts w:ascii="Times New Roman" w:hAnsi="Times New Roman" w:eastAsia="Times New Roman" w:cs="Times New Roman"/>
          <w:b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руб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кв.м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r>
    </w:p>
    <w:p>
      <w:pPr>
        <w:pStyle w:val="703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основании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изложенного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кадастровая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казанного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  <w:lang w:val="ru-RU"/>
        </w:rPr>
        <w:t xml:space="preserve">превышает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соответствии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статьей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50000"/>
          <w:spacing w:val="-4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color w:val="150000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Закона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№ 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172-ФЗ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перевод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данного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допускается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48" w:firstLine="850"/>
        <w:jc w:val="both"/>
        <w:spacing w:before="8"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отказа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</w:p>
    <w:p>
      <w:pPr>
        <w:ind w:right="-48" w:firstLine="850"/>
        <w:jc w:val="both"/>
        <w:spacing w:line="232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</w:t>
      </w:r>
      <w:r>
        <w:rPr>
          <w:sz w:val="28"/>
          <w:szCs w:val="28"/>
        </w:rPr>
        <w:t xml:space="preserve"> соблюдения которых осуществляется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</w:t>
      </w:r>
      <w:r>
        <w:rPr>
          <w:sz w:val="28"/>
          <w:szCs w:val="28"/>
        </w:rPr>
        <w:t xml:space="preserve">вающих новые или изменяющих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</w:t>
      </w:r>
      <w:r>
        <w:rPr>
          <w:sz w:val="28"/>
          <w:szCs w:val="28"/>
        </w:rPr>
        <w:t xml:space="preserve">актов, затрагивающих вопросы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</w:p>
    <w:p>
      <w:pPr>
        <w:pStyle w:val="863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863"/>
        <w:ind w:right="-48"/>
        <w:spacing w:before="23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                                  Р.Г. </w:t>
      </w:r>
      <w:r>
        <w:rPr>
          <w:spacing w:val="-2"/>
          <w:position w:val="1"/>
          <w:sz w:val="29"/>
        </w:rPr>
        <w:t xml:space="preserve">Шилохвостов</w:t>
      </w:r>
      <w:r>
        <w:rPr>
          <w:position w:val="1"/>
          <w:sz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1020" w:right="720" w:bottom="1018" w:left="1080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3245"/>
      <w:docPartObj>
        <w:docPartGallery w:val="Page Numbers (Top of Page)"/>
        <w:docPartUnique w:val="true"/>
      </w:docPartObj>
      <w:rPr/>
    </w:sdtPr>
    <w:sdtContent>
      <w:p>
        <w:pPr>
          <w:pStyle w:val="866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1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Title Char"/>
    <w:basedOn w:val="676"/>
    <w:link w:val="704"/>
    <w:uiPriority w:val="10"/>
    <w:rPr>
      <w:sz w:val="48"/>
      <w:szCs w:val="48"/>
    </w:rPr>
  </w:style>
  <w:style w:type="character" w:styleId="680" w:customStyle="1">
    <w:name w:val="Subtitle Char"/>
    <w:basedOn w:val="676"/>
    <w:link w:val="706"/>
    <w:uiPriority w:val="11"/>
    <w:rPr>
      <w:sz w:val="24"/>
      <w:szCs w:val="24"/>
    </w:rPr>
  </w:style>
  <w:style w:type="character" w:styleId="681" w:customStyle="1">
    <w:name w:val="Quote Char"/>
    <w:link w:val="708"/>
    <w:uiPriority w:val="29"/>
    <w:rPr>
      <w:i/>
    </w:rPr>
  </w:style>
  <w:style w:type="character" w:styleId="682" w:customStyle="1">
    <w:name w:val="Intense Quote Char"/>
    <w:link w:val="710"/>
    <w:uiPriority w:val="30"/>
    <w:rPr>
      <w:i/>
    </w:rPr>
  </w:style>
  <w:style w:type="character" w:styleId="683" w:customStyle="1">
    <w:name w:val="Footnote Text Char"/>
    <w:link w:val="845"/>
    <w:uiPriority w:val="99"/>
    <w:rPr>
      <w:sz w:val="18"/>
    </w:rPr>
  </w:style>
  <w:style w:type="character" w:styleId="684" w:customStyle="1">
    <w:name w:val="Endnote Text Char"/>
    <w:link w:val="848"/>
    <w:uiPriority w:val="99"/>
    <w:rPr>
      <w:sz w:val="20"/>
    </w:rPr>
  </w:style>
  <w:style w:type="paragraph" w:styleId="685" w:customStyle="1">
    <w:name w:val="Heading 1"/>
    <w:basedOn w:val="675"/>
    <w:next w:val="675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 w:customStyle="1">
    <w:name w:val="Heading 1 Char"/>
    <w:basedOn w:val="676"/>
    <w:link w:val="685"/>
    <w:uiPriority w:val="9"/>
    <w:rPr>
      <w:rFonts w:ascii="Arial" w:hAnsi="Arial" w:eastAsia="Arial" w:cs="Arial"/>
      <w:sz w:val="40"/>
      <w:szCs w:val="40"/>
    </w:rPr>
  </w:style>
  <w:style w:type="paragraph" w:styleId="687" w:customStyle="1">
    <w:name w:val="Heading 2"/>
    <w:basedOn w:val="675"/>
    <w:next w:val="675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8" w:customStyle="1">
    <w:name w:val="Heading 2 Char"/>
    <w:basedOn w:val="676"/>
    <w:link w:val="687"/>
    <w:uiPriority w:val="9"/>
    <w:rPr>
      <w:rFonts w:ascii="Arial" w:hAnsi="Arial" w:eastAsia="Arial" w:cs="Arial"/>
      <w:sz w:val="34"/>
    </w:rPr>
  </w:style>
  <w:style w:type="paragraph" w:styleId="689" w:customStyle="1">
    <w:name w:val="Heading 3"/>
    <w:basedOn w:val="675"/>
    <w:next w:val="675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0" w:customStyle="1">
    <w:name w:val="Heading 3 Char"/>
    <w:basedOn w:val="676"/>
    <w:link w:val="689"/>
    <w:uiPriority w:val="9"/>
    <w:rPr>
      <w:rFonts w:ascii="Arial" w:hAnsi="Arial" w:eastAsia="Arial" w:cs="Arial"/>
      <w:sz w:val="30"/>
      <w:szCs w:val="30"/>
    </w:rPr>
  </w:style>
  <w:style w:type="paragraph" w:styleId="691" w:customStyle="1">
    <w:name w:val="Heading 4"/>
    <w:basedOn w:val="675"/>
    <w:next w:val="675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4 Char"/>
    <w:basedOn w:val="676"/>
    <w:link w:val="691"/>
    <w:uiPriority w:val="9"/>
    <w:rPr>
      <w:rFonts w:ascii="Arial" w:hAnsi="Arial" w:eastAsia="Arial" w:cs="Arial"/>
      <w:b/>
      <w:bCs/>
      <w:sz w:val="26"/>
      <w:szCs w:val="26"/>
    </w:rPr>
  </w:style>
  <w:style w:type="paragraph" w:styleId="693" w:customStyle="1">
    <w:name w:val="Heading 5"/>
    <w:basedOn w:val="675"/>
    <w:next w:val="675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 w:customStyle="1">
    <w:name w:val="Heading 5 Char"/>
    <w:basedOn w:val="676"/>
    <w:link w:val="693"/>
    <w:uiPriority w:val="9"/>
    <w:rPr>
      <w:rFonts w:ascii="Arial" w:hAnsi="Arial" w:eastAsia="Arial" w:cs="Arial"/>
      <w:b/>
      <w:bCs/>
      <w:sz w:val="24"/>
      <w:szCs w:val="24"/>
    </w:rPr>
  </w:style>
  <w:style w:type="paragraph" w:styleId="695" w:customStyle="1">
    <w:name w:val="Heading 6"/>
    <w:basedOn w:val="675"/>
    <w:next w:val="675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696" w:customStyle="1">
    <w:name w:val="Heading 6 Char"/>
    <w:basedOn w:val="676"/>
    <w:link w:val="695"/>
    <w:uiPriority w:val="9"/>
    <w:rPr>
      <w:rFonts w:ascii="Arial" w:hAnsi="Arial" w:eastAsia="Arial" w:cs="Arial"/>
      <w:b/>
      <w:bCs/>
      <w:sz w:val="22"/>
      <w:szCs w:val="22"/>
    </w:rPr>
  </w:style>
  <w:style w:type="paragraph" w:styleId="697" w:customStyle="1">
    <w:name w:val="Heading 7"/>
    <w:basedOn w:val="675"/>
    <w:next w:val="675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698" w:customStyle="1">
    <w:name w:val="Heading 7 Char"/>
    <w:basedOn w:val="676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9" w:customStyle="1">
    <w:name w:val="Heading 8"/>
    <w:basedOn w:val="675"/>
    <w:next w:val="675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00" w:customStyle="1">
    <w:name w:val="Heading 8 Char"/>
    <w:basedOn w:val="676"/>
    <w:link w:val="699"/>
    <w:uiPriority w:val="9"/>
    <w:rPr>
      <w:rFonts w:ascii="Arial" w:hAnsi="Arial" w:eastAsia="Arial" w:cs="Arial"/>
      <w:i/>
      <w:iCs/>
      <w:sz w:val="22"/>
      <w:szCs w:val="22"/>
    </w:rPr>
  </w:style>
  <w:style w:type="paragraph" w:styleId="701" w:customStyle="1">
    <w:name w:val="Heading 9"/>
    <w:basedOn w:val="675"/>
    <w:next w:val="675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 w:customStyle="1">
    <w:name w:val="Heading 9 Char"/>
    <w:basedOn w:val="676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No Spacing"/>
    <w:uiPriority w:val="1"/>
    <w:qFormat/>
  </w:style>
  <w:style w:type="paragraph" w:styleId="704">
    <w:name w:val="Title"/>
    <w:basedOn w:val="675"/>
    <w:next w:val="675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 w:customStyle="1">
    <w:name w:val="Название Знак"/>
    <w:basedOn w:val="676"/>
    <w:link w:val="704"/>
    <w:uiPriority w:val="10"/>
    <w:rPr>
      <w:sz w:val="48"/>
      <w:szCs w:val="48"/>
    </w:rPr>
  </w:style>
  <w:style w:type="paragraph" w:styleId="706">
    <w:name w:val="Subtitle"/>
    <w:basedOn w:val="675"/>
    <w:next w:val="675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 w:customStyle="1">
    <w:name w:val="Подзаголовок Знак"/>
    <w:basedOn w:val="676"/>
    <w:link w:val="706"/>
    <w:uiPriority w:val="11"/>
    <w:rPr>
      <w:sz w:val="24"/>
      <w:szCs w:val="24"/>
    </w:rPr>
  </w:style>
  <w:style w:type="paragraph" w:styleId="708">
    <w:name w:val="Quote"/>
    <w:basedOn w:val="675"/>
    <w:next w:val="675"/>
    <w:link w:val="709"/>
    <w:uiPriority w:val="29"/>
    <w:qFormat/>
    <w:pPr>
      <w:ind w:left="720" w:right="720"/>
    </w:pPr>
    <w:rPr>
      <w:i/>
    </w:rPr>
  </w:style>
  <w:style w:type="character" w:styleId="709" w:customStyle="1">
    <w:name w:val="Цитата 2 Знак"/>
    <w:link w:val="708"/>
    <w:uiPriority w:val="29"/>
    <w:rPr>
      <w:i/>
    </w:rPr>
  </w:style>
  <w:style w:type="paragraph" w:styleId="710">
    <w:name w:val="Intense Quote"/>
    <w:basedOn w:val="675"/>
    <w:next w:val="675"/>
    <w:link w:val="71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 w:customStyle="1">
    <w:name w:val="Выделенная цитата Знак"/>
    <w:link w:val="710"/>
    <w:uiPriority w:val="30"/>
    <w:rPr>
      <w:i/>
    </w:rPr>
  </w:style>
  <w:style w:type="paragraph" w:styleId="712" w:customStyle="1">
    <w:name w:val="Header"/>
    <w:basedOn w:val="675"/>
    <w:link w:val="71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3" w:customStyle="1">
    <w:name w:val="Header Char"/>
    <w:basedOn w:val="676"/>
    <w:link w:val="712"/>
    <w:uiPriority w:val="99"/>
  </w:style>
  <w:style w:type="paragraph" w:styleId="714" w:customStyle="1">
    <w:name w:val="Footer"/>
    <w:basedOn w:val="675"/>
    <w:link w:val="71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5" w:customStyle="1">
    <w:name w:val="Footer Char"/>
    <w:basedOn w:val="676"/>
    <w:link w:val="714"/>
    <w:uiPriority w:val="99"/>
  </w:style>
  <w:style w:type="paragraph" w:styleId="716" w:customStyle="1">
    <w:name w:val="Caption"/>
    <w:basedOn w:val="675"/>
    <w:next w:val="675"/>
    <w:link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 w:customStyle="1">
    <w:name w:val="Caption Char"/>
    <w:basedOn w:val="676"/>
    <w:link w:val="716"/>
    <w:uiPriority w:val="35"/>
    <w:rPr>
      <w:b/>
      <w:bCs/>
      <w:color w:val="4f81bd" w:themeColor="accent1"/>
      <w:sz w:val="18"/>
      <w:szCs w:val="18"/>
    </w:rPr>
  </w:style>
  <w:style w:type="table" w:styleId="718">
    <w:name w:val="Table Grid"/>
    <w:basedOn w:val="67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Table Grid Light"/>
    <w:basedOn w:val="6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1"/>
    <w:basedOn w:val="6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 w:customStyle="1">
    <w:name w:val="Plain Table 2"/>
    <w:basedOn w:val="67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 w:customStyle="1">
    <w:name w:val="Plain Table 3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 w:customStyle="1">
    <w:name w:val="Plain Table 4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Plain Table 5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1 Light"/>
    <w:basedOn w:val="67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1"/>
    <w:basedOn w:val="67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2"/>
    <w:basedOn w:val="67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3"/>
    <w:basedOn w:val="67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4"/>
    <w:basedOn w:val="67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5"/>
    <w:basedOn w:val="67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6"/>
    <w:basedOn w:val="67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2"/>
    <w:basedOn w:val="6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1"/>
    <w:basedOn w:val="67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5"/>
    <w:basedOn w:val="67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6"/>
    <w:basedOn w:val="67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"/>
    <w:basedOn w:val="6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1"/>
    <w:basedOn w:val="67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5"/>
    <w:basedOn w:val="67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6"/>
    <w:basedOn w:val="67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4"/>
    <w:basedOn w:val="67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 w:customStyle="1">
    <w:name w:val="Grid Table 4 - Accent 1"/>
    <w:basedOn w:val="67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8" w:customStyle="1">
    <w:name w:val="Grid Table 4 - Accent 2"/>
    <w:basedOn w:val="67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9" w:customStyle="1">
    <w:name w:val="Grid Table 4 - Accent 3"/>
    <w:basedOn w:val="67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0" w:customStyle="1">
    <w:name w:val="Grid Table 4 - Accent 4"/>
    <w:basedOn w:val="67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1" w:customStyle="1">
    <w:name w:val="Grid Table 4 - Accent 5"/>
    <w:basedOn w:val="67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2" w:customStyle="1">
    <w:name w:val="Grid Table 4 - Accent 6"/>
    <w:basedOn w:val="67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3" w:customStyle="1">
    <w:name w:val="Grid Table 5 Dark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1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2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3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4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5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6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6 Colorful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1" w:customStyle="1">
    <w:name w:val="Grid Table 6 Colorful - Accent 1"/>
    <w:basedOn w:val="67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2" w:customStyle="1">
    <w:name w:val="Grid Table 6 Colorful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3" w:customStyle="1">
    <w:name w:val="Grid Table 6 Colorful - Accent 3"/>
    <w:basedOn w:val="67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4" w:customStyle="1">
    <w:name w:val="Grid Table 6 Colorful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5" w:customStyle="1">
    <w:name w:val="Grid Table 6 Colorful - Accent 5"/>
    <w:basedOn w:val="67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6" w:customStyle="1">
    <w:name w:val="Grid Table 6 Colorful - Accent 6"/>
    <w:basedOn w:val="67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7" w:customStyle="1">
    <w:name w:val="Grid Table 7 Colorful"/>
    <w:basedOn w:val="67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1"/>
    <w:basedOn w:val="67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5"/>
    <w:basedOn w:val="67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6"/>
    <w:basedOn w:val="67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1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2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3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4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5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6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2"/>
    <w:basedOn w:val="67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1"/>
    <w:basedOn w:val="67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2"/>
    <w:basedOn w:val="67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3"/>
    <w:basedOn w:val="67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4"/>
    <w:basedOn w:val="67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5"/>
    <w:basedOn w:val="67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6"/>
    <w:basedOn w:val="67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8" w:customStyle="1">
    <w:name w:val="List Table 3"/>
    <w:basedOn w:val="6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"/>
    <w:basedOn w:val="6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1"/>
    <w:basedOn w:val="67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2"/>
    <w:basedOn w:val="67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3"/>
    <w:basedOn w:val="67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4"/>
    <w:basedOn w:val="67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5"/>
    <w:basedOn w:val="67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6"/>
    <w:basedOn w:val="67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5 Dark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6 Colorful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0" w:customStyle="1">
    <w:name w:val="List Table 6 Colorful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1" w:customStyle="1">
    <w:name w:val="List Table 6 Colorful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2" w:customStyle="1">
    <w:name w:val="List Table 6 Colorful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3" w:customStyle="1">
    <w:name w:val="List Table 6 Colorful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4" w:customStyle="1">
    <w:name w:val="List Table 6 Colorful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5" w:customStyle="1">
    <w:name w:val="List Table 6 Colorful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6" w:customStyle="1">
    <w:name w:val="List Table 7 Colorful"/>
    <w:basedOn w:val="67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1"/>
    <w:basedOn w:val="67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2"/>
    <w:basedOn w:val="67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3"/>
    <w:basedOn w:val="67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4"/>
    <w:basedOn w:val="67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5"/>
    <w:basedOn w:val="67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6"/>
    <w:basedOn w:val="67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ned - Accent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Lined - Accent 1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5" w:customStyle="1">
    <w:name w:val="Lined - Accent 2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6" w:customStyle="1">
    <w:name w:val="Lined - Accent 3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7" w:customStyle="1">
    <w:name w:val="Lined - Accent 4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8" w:customStyle="1">
    <w:name w:val="Lined - Accent 5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9" w:customStyle="1">
    <w:name w:val="Lined - Accent 6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0" w:customStyle="1">
    <w:name w:val="Bordered &amp; Lined - Accent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1" w:customStyle="1">
    <w:name w:val="Bordered &amp; Lined - Accent 1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2" w:customStyle="1">
    <w:name w:val="Bordered &amp; Lined - Accent 2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3" w:customStyle="1">
    <w:name w:val="Bordered &amp; Lined - Accent 3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4" w:customStyle="1">
    <w:name w:val="Bordered &amp; Lined - Accent 4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5" w:customStyle="1">
    <w:name w:val="Bordered &amp; Lined - Accent 5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6" w:customStyle="1">
    <w:name w:val="Bordered &amp; Lined - Accent 6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7" w:customStyle="1">
    <w:name w:val="Bordered"/>
    <w:basedOn w:val="67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8" w:customStyle="1">
    <w:name w:val="Bordered - Accent 1"/>
    <w:basedOn w:val="67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9" w:customStyle="1">
    <w:name w:val="Bordered - Accent 2"/>
    <w:basedOn w:val="67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0" w:customStyle="1">
    <w:name w:val="Bordered - Accent 3"/>
    <w:basedOn w:val="67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1" w:customStyle="1">
    <w:name w:val="Bordered - Accent 4"/>
    <w:basedOn w:val="67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2" w:customStyle="1">
    <w:name w:val="Bordered - Accent 5"/>
    <w:basedOn w:val="67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3" w:customStyle="1">
    <w:name w:val="Bordered - Accent 6"/>
    <w:basedOn w:val="67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675"/>
    <w:link w:val="846"/>
    <w:uiPriority w:val="99"/>
    <w:semiHidden/>
    <w:unhideWhenUsed/>
    <w:pPr>
      <w:spacing w:after="40"/>
    </w:pPr>
    <w:rPr>
      <w:sz w:val="18"/>
    </w:rPr>
  </w:style>
  <w:style w:type="character" w:styleId="846" w:customStyle="1">
    <w:name w:val="Текст сноски Знак"/>
    <w:link w:val="845"/>
    <w:uiPriority w:val="99"/>
    <w:rPr>
      <w:sz w:val="18"/>
    </w:rPr>
  </w:style>
  <w:style w:type="character" w:styleId="847">
    <w:name w:val="footnote reference"/>
    <w:basedOn w:val="676"/>
    <w:uiPriority w:val="99"/>
    <w:unhideWhenUsed/>
    <w:rPr>
      <w:vertAlign w:val="superscript"/>
    </w:rPr>
  </w:style>
  <w:style w:type="paragraph" w:styleId="848">
    <w:name w:val="endnote text"/>
    <w:basedOn w:val="675"/>
    <w:link w:val="849"/>
    <w:uiPriority w:val="99"/>
    <w:semiHidden/>
    <w:unhideWhenUsed/>
    <w:rPr>
      <w:sz w:val="20"/>
    </w:rPr>
  </w:style>
  <w:style w:type="character" w:styleId="849" w:customStyle="1">
    <w:name w:val="Текст концевой сноски Знак"/>
    <w:link w:val="848"/>
    <w:uiPriority w:val="99"/>
    <w:rPr>
      <w:sz w:val="20"/>
    </w:rPr>
  </w:style>
  <w:style w:type="character" w:styleId="850">
    <w:name w:val="endnote reference"/>
    <w:basedOn w:val="676"/>
    <w:uiPriority w:val="99"/>
    <w:semiHidden/>
    <w:unhideWhenUsed/>
    <w:rPr>
      <w:vertAlign w:val="superscript"/>
    </w:rPr>
  </w:style>
  <w:style w:type="paragraph" w:styleId="851">
    <w:name w:val="toc 1"/>
    <w:basedOn w:val="675"/>
    <w:next w:val="675"/>
    <w:uiPriority w:val="39"/>
    <w:unhideWhenUsed/>
    <w:pPr>
      <w:spacing w:after="57"/>
    </w:pPr>
  </w:style>
  <w:style w:type="paragraph" w:styleId="852">
    <w:name w:val="toc 2"/>
    <w:basedOn w:val="675"/>
    <w:next w:val="675"/>
    <w:uiPriority w:val="39"/>
    <w:unhideWhenUsed/>
    <w:pPr>
      <w:ind w:left="283"/>
      <w:spacing w:after="57"/>
    </w:pPr>
  </w:style>
  <w:style w:type="paragraph" w:styleId="853">
    <w:name w:val="toc 3"/>
    <w:basedOn w:val="675"/>
    <w:next w:val="675"/>
    <w:uiPriority w:val="39"/>
    <w:unhideWhenUsed/>
    <w:pPr>
      <w:ind w:left="567"/>
      <w:spacing w:after="57"/>
    </w:pPr>
  </w:style>
  <w:style w:type="paragraph" w:styleId="854">
    <w:name w:val="toc 4"/>
    <w:basedOn w:val="675"/>
    <w:next w:val="675"/>
    <w:uiPriority w:val="39"/>
    <w:unhideWhenUsed/>
    <w:pPr>
      <w:ind w:left="850"/>
      <w:spacing w:after="57"/>
    </w:pPr>
  </w:style>
  <w:style w:type="paragraph" w:styleId="855">
    <w:name w:val="toc 5"/>
    <w:basedOn w:val="675"/>
    <w:next w:val="675"/>
    <w:uiPriority w:val="39"/>
    <w:unhideWhenUsed/>
    <w:pPr>
      <w:ind w:left="1134"/>
      <w:spacing w:after="57"/>
    </w:pPr>
  </w:style>
  <w:style w:type="paragraph" w:styleId="856">
    <w:name w:val="toc 6"/>
    <w:basedOn w:val="675"/>
    <w:next w:val="675"/>
    <w:uiPriority w:val="39"/>
    <w:unhideWhenUsed/>
    <w:pPr>
      <w:ind w:left="1417"/>
      <w:spacing w:after="57"/>
    </w:pPr>
  </w:style>
  <w:style w:type="paragraph" w:styleId="857">
    <w:name w:val="toc 7"/>
    <w:basedOn w:val="675"/>
    <w:next w:val="675"/>
    <w:uiPriority w:val="39"/>
    <w:unhideWhenUsed/>
    <w:pPr>
      <w:ind w:left="1701"/>
      <w:spacing w:after="57"/>
    </w:pPr>
  </w:style>
  <w:style w:type="paragraph" w:styleId="858">
    <w:name w:val="toc 8"/>
    <w:basedOn w:val="675"/>
    <w:next w:val="675"/>
    <w:uiPriority w:val="39"/>
    <w:unhideWhenUsed/>
    <w:pPr>
      <w:ind w:left="1984"/>
      <w:spacing w:after="57"/>
    </w:pPr>
  </w:style>
  <w:style w:type="paragraph" w:styleId="859">
    <w:name w:val="toc 9"/>
    <w:basedOn w:val="675"/>
    <w:next w:val="675"/>
    <w:uiPriority w:val="39"/>
    <w:unhideWhenUsed/>
    <w:pPr>
      <w:ind w:left="2268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675"/>
    <w:next w:val="675"/>
    <w:uiPriority w:val="99"/>
    <w:unhideWhenUsed/>
  </w:style>
  <w:style w:type="table" w:styleId="862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3">
    <w:name w:val="Body Text"/>
    <w:basedOn w:val="675"/>
    <w:uiPriority w:val="1"/>
    <w:qFormat/>
    <w:rPr>
      <w:sz w:val="28"/>
      <w:szCs w:val="28"/>
    </w:rPr>
  </w:style>
  <w:style w:type="paragraph" w:styleId="864">
    <w:name w:val="List Paragraph"/>
    <w:basedOn w:val="675"/>
    <w:uiPriority w:val="1"/>
    <w:qFormat/>
  </w:style>
  <w:style w:type="paragraph" w:styleId="865" w:customStyle="1">
    <w:name w:val="Table Paragraph"/>
    <w:basedOn w:val="675"/>
    <w:uiPriority w:val="1"/>
    <w:qFormat/>
    <w:pPr>
      <w:ind w:left="25"/>
      <w:jc w:val="center"/>
    </w:pPr>
  </w:style>
  <w:style w:type="paragraph" w:styleId="866" w:customStyle="1">
    <w:name w:val="Header"/>
    <w:basedOn w:val="675"/>
    <w:link w:val="86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Верхний колонтитул Знак"/>
    <w:basedOn w:val="676"/>
    <w:link w:val="866"/>
    <w:uiPriority w:val="99"/>
    <w:rPr>
      <w:rFonts w:ascii="Times New Roman" w:hAnsi="Times New Roman" w:eastAsia="Times New Roman" w:cs="Times New Roman"/>
      <w:lang w:val="ru-RU"/>
    </w:rPr>
  </w:style>
  <w:style w:type="paragraph" w:styleId="868" w:customStyle="1">
    <w:name w:val="Footer"/>
    <w:basedOn w:val="675"/>
    <w:link w:val="86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9" w:customStyle="1">
    <w:name w:val="Нижний колонтитул Знак"/>
    <w:basedOn w:val="676"/>
    <w:link w:val="868"/>
    <w:uiPriority w:val="99"/>
    <w:semiHidden/>
    <w:rPr>
      <w:rFonts w:ascii="Times New Roman" w:hAnsi="Times New Roman" w:eastAsia="Times New Roman" w:cs="Times New Roman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EDA20-DC6A-47B7-A45F-983D3FCE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snb@NSO.LOC</cp:lastModifiedBy>
  <cp:revision>16</cp:revision>
  <dcterms:created xsi:type="dcterms:W3CDTF">2026-03-26T06:04:00Z</dcterms:created>
  <dcterms:modified xsi:type="dcterms:W3CDTF">2026-05-22T06:55:19Z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